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120" w:line="276" w:lineRule="auto"/>
        <w:rPr>
          <w:b w:val="1"/>
          <w:color w:val="324ab2"/>
        </w:rPr>
      </w:pPr>
      <w:bookmarkStart w:colFirst="0" w:colLast="0" w:name="_off42qtknvwp" w:id="0"/>
      <w:bookmarkEnd w:id="0"/>
      <w:r w:rsidDel="00000000" w:rsidR="00000000" w:rsidRPr="00000000">
        <w:rPr>
          <w:b w:val="1"/>
          <w:color w:val="324ab2"/>
          <w:rtl w:val="0"/>
        </w:rPr>
        <w:t xml:space="preserve">Tool 6.2: Checklist: GEDSI-inclusive Procurement Practices</w:t>
      </w:r>
    </w:p>
    <w:p w:rsidR="00000000" w:rsidDel="00000000" w:rsidP="00000000" w:rsidRDefault="00000000" w:rsidRPr="00000000" w14:paraId="00000002">
      <w:pPr>
        <w:spacing w:after="200" w:lineRule="auto"/>
        <w:rPr>
          <w:color w:val="1f1f1f"/>
        </w:rPr>
      </w:pPr>
      <w:r w:rsidDel="00000000" w:rsidR="00000000" w:rsidRPr="00000000">
        <w:rPr>
          <w:color w:val="1f1f1f"/>
          <w:rtl w:val="0"/>
        </w:rPr>
        <w:t xml:space="preserve">There are several actions that you can implement to increase the representation of women, persons with disabilities, and members of marginalised groups among your subcontractors, implementers, and grantees. These actions are detailed in the checklist below.</w:t>
      </w:r>
    </w:p>
    <w:p w:rsidR="00000000" w:rsidDel="00000000" w:rsidP="00000000" w:rsidRDefault="00000000" w:rsidRPr="00000000" w14:paraId="00000003">
      <w:pPr>
        <w:spacing w:after="200" w:lineRule="auto"/>
        <w:rPr>
          <w:color w:val="1f1f1f"/>
        </w:rPr>
      </w:pPr>
      <w:r w:rsidDel="00000000" w:rsidR="00000000" w:rsidRPr="00000000">
        <w:rPr>
          <w:color w:val="1f1f1f"/>
          <w:rtl w:val="0"/>
        </w:rPr>
        <w:t xml:space="preserve">Please note that a list of useful terms can be found at Page 3 of the GEDSI Toolkit.</w:t>
      </w:r>
    </w:p>
    <w:tbl>
      <w:tblPr>
        <w:tblStyle w:val="Table1"/>
        <w:tblW w:w="9360.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580"/>
        <w:gridCol w:w="5625"/>
        <w:gridCol w:w="1155"/>
        <w:tblGridChange w:id="0">
          <w:tblGrid>
            <w:gridCol w:w="2580"/>
            <w:gridCol w:w="5625"/>
            <w:gridCol w:w="11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990066" w:val="clear"/>
            <w:tcMar>
              <w:top w:w="100.0" w:type="dxa"/>
              <w:left w:w="100.0" w:type="dxa"/>
              <w:bottom w:w="100.0" w:type="dxa"/>
              <w:right w:w="100.0" w:type="dxa"/>
            </w:tcMar>
            <w:vAlign w:val="top"/>
          </w:tcPr>
          <w:p w:rsidR="00000000" w:rsidDel="00000000" w:rsidP="00000000" w:rsidRDefault="00000000" w:rsidRPr="00000000" w14:paraId="00000004">
            <w:pPr>
              <w:pStyle w:val="Heading5"/>
              <w:widowControl w:val="0"/>
              <w:spacing w:after="0" w:before="0" w:line="240" w:lineRule="auto"/>
              <w:jc w:val="both"/>
              <w:rPr>
                <w:b w:val="1"/>
                <w:color w:val="ffffff"/>
                <w:sz w:val="24"/>
                <w:szCs w:val="24"/>
              </w:rPr>
            </w:pPr>
            <w:bookmarkStart w:colFirst="0" w:colLast="0" w:name="_3rctvuaweytb" w:id="1"/>
            <w:bookmarkEnd w:id="1"/>
            <w:r w:rsidDel="00000000" w:rsidR="00000000" w:rsidRPr="00000000">
              <w:rPr>
                <w:b w:val="1"/>
                <w:color w:val="ffffff"/>
                <w:sz w:val="24"/>
                <w:szCs w:val="24"/>
                <w:rtl w:val="0"/>
              </w:rPr>
              <w:t xml:space="preserve">Strategic Activities</w:t>
            </w:r>
          </w:p>
        </w:tc>
        <w:tc>
          <w:tcPr>
            <w:tcBorders>
              <w:top w:color="000000" w:space="0" w:sz="0" w:val="nil"/>
              <w:left w:color="000000" w:space="0" w:sz="0" w:val="nil"/>
              <w:bottom w:color="000000" w:space="0" w:sz="0" w:val="nil"/>
              <w:right w:color="000000" w:space="0" w:sz="0" w:val="nil"/>
            </w:tcBorders>
            <w:shd w:fill="990066" w:val="clear"/>
            <w:tcMar>
              <w:top w:w="100.0" w:type="dxa"/>
              <w:left w:w="100.0" w:type="dxa"/>
              <w:bottom w:w="100.0" w:type="dxa"/>
              <w:right w:w="100.0" w:type="dxa"/>
            </w:tcMar>
            <w:vAlign w:val="top"/>
          </w:tcPr>
          <w:p w:rsidR="00000000" w:rsidDel="00000000" w:rsidP="00000000" w:rsidRDefault="00000000" w:rsidRPr="00000000" w14:paraId="00000005">
            <w:pPr>
              <w:pStyle w:val="Heading5"/>
              <w:widowControl w:val="0"/>
              <w:spacing w:after="0" w:before="0" w:line="240" w:lineRule="auto"/>
              <w:jc w:val="both"/>
              <w:rPr>
                <w:b w:val="1"/>
                <w:color w:val="ffffff"/>
                <w:sz w:val="24"/>
                <w:szCs w:val="24"/>
              </w:rPr>
            </w:pPr>
            <w:bookmarkStart w:colFirst="0" w:colLast="0" w:name="_cj8iou6kq7kj" w:id="2"/>
            <w:bookmarkEnd w:id="2"/>
            <w:r w:rsidDel="00000000" w:rsidR="00000000" w:rsidRPr="00000000">
              <w:rPr>
                <w:b w:val="1"/>
                <w:color w:val="ffffff"/>
                <w:sz w:val="24"/>
                <w:szCs w:val="24"/>
                <w:rtl w:val="0"/>
              </w:rPr>
              <w:t xml:space="preserve">Steps to Implement the Activities</w:t>
            </w:r>
          </w:p>
        </w:tc>
        <w:tc>
          <w:tcPr>
            <w:tcBorders>
              <w:top w:color="000000" w:space="0" w:sz="0" w:val="nil"/>
              <w:left w:color="000000" w:space="0" w:sz="0" w:val="nil"/>
              <w:bottom w:color="000000" w:space="0" w:sz="0" w:val="nil"/>
              <w:right w:color="000000" w:space="0" w:sz="0" w:val="nil"/>
            </w:tcBorders>
            <w:shd w:fill="990066" w:val="clear"/>
            <w:tcMar>
              <w:top w:w="100.0" w:type="dxa"/>
              <w:left w:w="100.0" w:type="dxa"/>
              <w:bottom w:w="100.0" w:type="dxa"/>
              <w:right w:w="100.0" w:type="dxa"/>
            </w:tcMar>
            <w:vAlign w:val="top"/>
          </w:tcPr>
          <w:p w:rsidR="00000000" w:rsidDel="00000000" w:rsidP="00000000" w:rsidRDefault="00000000" w:rsidRPr="00000000" w14:paraId="00000006">
            <w:pPr>
              <w:pStyle w:val="Heading5"/>
              <w:widowControl w:val="0"/>
              <w:spacing w:after="0" w:before="0" w:line="240" w:lineRule="auto"/>
              <w:jc w:val="both"/>
              <w:rPr>
                <w:b w:val="1"/>
                <w:color w:val="ffffff"/>
                <w:sz w:val="24"/>
                <w:szCs w:val="24"/>
              </w:rPr>
            </w:pPr>
            <w:bookmarkStart w:colFirst="0" w:colLast="0" w:name="_ntbgwfj8rd9j" w:id="3"/>
            <w:bookmarkEnd w:id="3"/>
            <w:r w:rsidDel="00000000" w:rsidR="00000000" w:rsidRPr="00000000">
              <w:rPr>
                <w:b w:val="1"/>
                <w:color w:val="ffffff"/>
                <w:sz w:val="24"/>
                <w:szCs w:val="24"/>
                <w:rtl w:val="0"/>
              </w:rPr>
              <w:t xml:space="preserve">Status</w:t>
            </w:r>
          </w:p>
        </w:tc>
      </w:tr>
      <w:tr>
        <w:trPr>
          <w:cantSplit w:val="0"/>
          <w:trHeight w:val="420" w:hRule="atLeast"/>
          <w:tblHeader w:val="0"/>
        </w:trPr>
        <w:tc>
          <w:tcPr>
            <w:gridSpan w:val="3"/>
            <w:tcBorders>
              <w:top w:color="000000" w:space="0" w:sz="0" w:val="nil"/>
              <w:left w:color="000000" w:space="0" w:sz="0" w:val="nil"/>
              <w:bottom w:color="000000" w:space="0" w:sz="0" w:val="nil"/>
              <w:right w:color="000000" w:space="0" w:sz="0" w:val="nil"/>
            </w:tcBorders>
            <w:shd w:fill="324ab2" w:val="clear"/>
            <w:tcMar>
              <w:top w:w="100.0" w:type="dxa"/>
              <w:left w:w="100.0" w:type="dxa"/>
              <w:bottom w:w="100.0" w:type="dxa"/>
              <w:right w:w="100.0" w:type="dxa"/>
            </w:tcMar>
            <w:vAlign w:val="top"/>
          </w:tcPr>
          <w:p w:rsidR="00000000" w:rsidDel="00000000" w:rsidP="00000000" w:rsidRDefault="00000000" w:rsidRPr="00000000" w14:paraId="00000007">
            <w:pPr>
              <w:pStyle w:val="Heading5"/>
              <w:widowControl w:val="0"/>
              <w:spacing w:after="0" w:before="0" w:line="240" w:lineRule="auto"/>
              <w:jc w:val="both"/>
              <w:rPr>
                <w:b w:val="1"/>
                <w:color w:val="ffffff"/>
                <w:sz w:val="24"/>
                <w:szCs w:val="24"/>
              </w:rPr>
            </w:pPr>
            <w:bookmarkStart w:colFirst="0" w:colLast="0" w:name="_kfxi5fus13cd" w:id="4"/>
            <w:bookmarkEnd w:id="4"/>
            <w:r w:rsidDel="00000000" w:rsidR="00000000" w:rsidRPr="00000000">
              <w:rPr>
                <w:b w:val="1"/>
                <w:color w:val="ffffff"/>
                <w:sz w:val="24"/>
                <w:szCs w:val="24"/>
                <w:rtl w:val="0"/>
              </w:rPr>
              <w:t xml:space="preserve">Highly Recommended</w:t>
            </w:r>
          </w:p>
        </w:tc>
      </w:tr>
      <w:tr>
        <w:trPr>
          <w:cantSplit w:val="0"/>
          <w:trHeight w:val="2550" w:hRule="atLeast"/>
          <w:tblHeader w:val="0"/>
        </w:trPr>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pStyle w:val="Heading3"/>
              <w:widowControl w:val="0"/>
              <w:spacing w:after="0" w:before="0" w:line="240" w:lineRule="auto"/>
              <w:rPr>
                <w:b w:val="1"/>
                <w:color w:val="00247d"/>
                <w:sz w:val="20"/>
                <w:szCs w:val="20"/>
              </w:rPr>
            </w:pPr>
            <w:bookmarkStart w:colFirst="0" w:colLast="0" w:name="_x6bmyt4ys071" w:id="5"/>
            <w:bookmarkEnd w:id="5"/>
            <w:r w:rsidDel="00000000" w:rsidR="00000000" w:rsidRPr="00000000">
              <w:rPr>
                <w:b w:val="1"/>
                <w:color w:val="00247d"/>
                <w:sz w:val="20"/>
                <w:szCs w:val="20"/>
                <w:rtl w:val="0"/>
              </w:rPr>
              <w:t xml:space="preserve">Establish a formal commitment to GEDSI in procurement </w:t>
            </w:r>
          </w:p>
        </w:tc>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00" w:line="276" w:lineRule="auto"/>
              <w:rPr>
                <w:sz w:val="20"/>
                <w:szCs w:val="20"/>
              </w:rPr>
            </w:pPr>
            <w:r w:rsidDel="00000000" w:rsidR="00000000" w:rsidRPr="00000000">
              <w:rPr>
                <w:sz w:val="20"/>
                <w:szCs w:val="20"/>
                <w:rtl w:val="0"/>
              </w:rPr>
              <w:t xml:space="preserve">Update your procurement and competition materials to include the TEA GEDSI Principles and explicitly state your commitment to these principles. Communicate that subcontractors, implementers, and grantees are expected to adhere to these principles. Consider asking current and prospective subcontractors, implementers, and grantees to conduct a self-assessment.</w:t>
            </w:r>
          </w:p>
        </w:tc>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numPr>
                <w:ilvl w:val="0"/>
                <w:numId w:val="1"/>
              </w:numPr>
              <w:spacing w:after="200" w:line="276" w:lineRule="auto"/>
              <w:ind w:left="720" w:hanging="360"/>
              <w:jc w:val="both"/>
              <w:rPr/>
            </w:pPr>
            <w:r w:rsidDel="00000000" w:rsidR="00000000" w:rsidRPr="00000000">
              <w:rPr>
                <w:rtl w:val="0"/>
              </w:rPr>
            </w:r>
          </w:p>
        </w:tc>
      </w:tr>
      <w:tr>
        <w:trPr>
          <w:cantSplit w:val="0"/>
          <w:trHeight w:val="2670" w:hRule="atLeast"/>
          <w:tblHeader w:val="0"/>
        </w:trPr>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200" w:line="240" w:lineRule="auto"/>
              <w:rPr>
                <w:b w:val="1"/>
                <w:color w:val="00247d"/>
                <w:sz w:val="20"/>
                <w:szCs w:val="20"/>
              </w:rPr>
            </w:pPr>
            <w:r w:rsidDel="00000000" w:rsidR="00000000" w:rsidRPr="00000000">
              <w:rPr>
                <w:b w:val="1"/>
                <w:color w:val="00247d"/>
                <w:sz w:val="20"/>
                <w:szCs w:val="20"/>
                <w:rtl w:val="0"/>
              </w:rPr>
              <w:t xml:space="preserve">Collect, analyse and use sex-disaggregated data for your subcontractors, implementers, and grantees</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200" w:line="240" w:lineRule="auto"/>
              <w:rPr>
                <w:sz w:val="20"/>
                <w:szCs w:val="20"/>
              </w:rPr>
            </w:pPr>
            <w:r w:rsidDel="00000000" w:rsidR="00000000" w:rsidRPr="00000000">
              <w:rPr>
                <w:sz w:val="20"/>
                <w:szCs w:val="20"/>
                <w:rtl w:val="0"/>
              </w:rPr>
              <w:t xml:space="preserve">Collect sex- and disability- (if available) disaggregated data on the ownership and leadership of your current subcontractors, implementers, and grantees.</w:t>
            </w:r>
          </w:p>
          <w:p w:rsidR="00000000" w:rsidDel="00000000" w:rsidP="00000000" w:rsidRDefault="00000000" w:rsidRPr="00000000" w14:paraId="0000000F">
            <w:pPr>
              <w:widowControl w:val="0"/>
              <w:spacing w:after="200" w:line="240" w:lineRule="auto"/>
              <w:rPr>
                <w:sz w:val="20"/>
                <w:szCs w:val="20"/>
              </w:rPr>
            </w:pPr>
            <w:r w:rsidDel="00000000" w:rsidR="00000000" w:rsidRPr="00000000">
              <w:rPr>
                <w:rtl w:val="0"/>
              </w:rPr>
            </w:r>
          </w:p>
          <w:p w:rsidR="00000000" w:rsidDel="00000000" w:rsidP="00000000" w:rsidRDefault="00000000" w:rsidRPr="00000000" w14:paraId="00000010">
            <w:pPr>
              <w:spacing w:after="120" w:before="120" w:line="240" w:lineRule="auto"/>
              <w:rPr>
                <w:sz w:val="20"/>
                <w:szCs w:val="20"/>
              </w:rPr>
            </w:pPr>
            <w:r w:rsidDel="00000000" w:rsidR="00000000" w:rsidRPr="00000000">
              <w:rPr>
                <w:sz w:val="20"/>
                <w:szCs w:val="20"/>
                <w:rtl w:val="0"/>
              </w:rPr>
              <w:t xml:space="preserve">As a starting point, you can use the GEDSI Contracts Tracker to understand leadership and ownership of subcontractors, implementers, and grantees.</w:t>
            </w:r>
          </w:p>
        </w:tc>
        <w:tc>
          <w:tcPr>
            <w:tcBorders>
              <w:top w:color="990066" w:space="0" w:sz="8" w:val="single"/>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2"/>
              </w:numPr>
              <w:spacing w:after="200" w:line="240" w:lineRule="auto"/>
              <w:ind w:left="720" w:hanging="360"/>
              <w:jc w:val="center"/>
              <w:rPr/>
            </w:pPr>
            <w:r w:rsidDel="00000000" w:rsidR="00000000" w:rsidRPr="00000000">
              <w:rPr>
                <w:rtl w:val="0"/>
              </w:rPr>
            </w:r>
          </w:p>
        </w:tc>
      </w:tr>
      <w:tr>
        <w:trPr>
          <w:cantSplit w:val="0"/>
          <w:trHeight w:val="420" w:hRule="atLeast"/>
          <w:tblHeader w:val="0"/>
        </w:trPr>
        <w:tc>
          <w:tcPr>
            <w:vMerge w:val="restart"/>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after="120" w:line="240" w:lineRule="auto"/>
              <w:rPr>
                <w:b w:val="1"/>
                <w:color w:val="00247d"/>
                <w:sz w:val="20"/>
                <w:szCs w:val="20"/>
              </w:rPr>
            </w:pPr>
            <w:r w:rsidDel="00000000" w:rsidR="00000000" w:rsidRPr="00000000">
              <w:rPr>
                <w:b w:val="1"/>
                <w:color w:val="00247d"/>
                <w:sz w:val="20"/>
                <w:szCs w:val="20"/>
                <w:rtl w:val="0"/>
              </w:rPr>
              <w:t xml:space="preserve">Set, monitor, and track gender- and disability-inclusive procurement indicators</w:t>
            </w:r>
          </w:p>
        </w:tc>
        <w:tc>
          <w:tcPr>
            <w:vMerge w:val="restart"/>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200" w:line="240" w:lineRule="auto"/>
              <w:rPr>
                <w:sz w:val="20"/>
                <w:szCs w:val="20"/>
              </w:rPr>
            </w:pPr>
            <w:r w:rsidDel="00000000" w:rsidR="00000000" w:rsidRPr="00000000">
              <w:rPr>
                <w:sz w:val="20"/>
                <w:szCs w:val="20"/>
                <w:rtl w:val="0"/>
              </w:rPr>
              <w:t xml:space="preserve">Set explicit targets for gender and disability</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inclusion among your subcontractors, implementers, and grantees and communicate this to employees and other stakeholders.</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after="200" w:line="276" w:lineRule="auto"/>
              <w:rPr>
                <w:sz w:val="20"/>
                <w:szCs w:val="20"/>
              </w:rPr>
            </w:pPr>
            <w:r w:rsidDel="00000000" w:rsidR="00000000" w:rsidRPr="00000000">
              <w:rPr>
                <w:sz w:val="20"/>
                <w:szCs w:val="20"/>
                <w:rtl w:val="0"/>
              </w:rPr>
              <w:t xml:space="preserve">Set indicators to ensure compliance with policies, measure progress, and to signal any necessary adjustments or improvements.</w:t>
            </w:r>
            <w:r w:rsidDel="00000000" w:rsidR="00000000" w:rsidRPr="00000000">
              <w:rPr>
                <w:sz w:val="20"/>
                <w:szCs w:val="20"/>
                <w:vertAlign w:val="superscript"/>
              </w:rPr>
              <w:footnoteReference w:customMarkFollows="0" w:id="1"/>
            </w:r>
            <w:r w:rsidDel="00000000" w:rsidR="00000000" w:rsidRPr="00000000">
              <w:rPr>
                <w:rtl w:val="0"/>
              </w:rPr>
            </w:r>
          </w:p>
        </w:tc>
        <w:tc>
          <w:tcPr>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5"/>
              </w:numPr>
              <w:spacing w:after="200" w:line="240" w:lineRule="auto"/>
              <w:ind w:left="720" w:hanging="360"/>
              <w:jc w:val="center"/>
              <w:rPr/>
            </w:pPr>
            <w:r w:rsidDel="00000000" w:rsidR="00000000" w:rsidRPr="00000000">
              <w:rPr>
                <w:rtl w:val="0"/>
              </w:rPr>
            </w:r>
          </w:p>
        </w:tc>
      </w:tr>
      <w:tr>
        <w:trPr>
          <w:cantSplit w:val="0"/>
          <w:trHeight w:val="222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after="200" w:line="240" w:lineRule="auto"/>
              <w:jc w:val="both"/>
              <w:rPr>
                <w:color w:val="1c612c"/>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200" w:line="240" w:lineRule="auto"/>
              <w:jc w:val="both"/>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hd w:fill="ffffff" w:val="clear"/>
              <w:spacing w:after="200" w:line="276" w:lineRule="auto"/>
              <w:ind w:left="720" w:firstLine="0"/>
              <w:jc w:val="center"/>
              <w:rPr/>
            </w:pPr>
            <w:r w:rsidDel="00000000" w:rsidR="00000000" w:rsidRPr="00000000">
              <w:rPr>
                <w:rtl w:val="0"/>
              </w:rPr>
            </w:r>
          </w:p>
        </w:tc>
      </w:tr>
      <w:tr>
        <w:trPr>
          <w:cantSplit w:val="0"/>
          <w:trHeight w:val="420" w:hRule="atLeast"/>
          <w:tblHeader w:val="0"/>
        </w:trPr>
        <w:tc>
          <w:tcPr>
            <w:gridSpan w:val="3"/>
            <w:tcBorders>
              <w:top w:color="000000" w:space="0" w:sz="0" w:val="nil"/>
              <w:left w:color="000000" w:space="0" w:sz="0" w:val="nil"/>
              <w:bottom w:color="000000" w:space="0" w:sz="0" w:val="nil"/>
              <w:right w:color="000000" w:space="0" w:sz="0" w:val="nil"/>
            </w:tcBorders>
            <w:shd w:fill="324ab2" w:val="clear"/>
            <w:tcMar>
              <w:top w:w="100.0" w:type="dxa"/>
              <w:left w:w="100.0" w:type="dxa"/>
              <w:bottom w:w="100.0" w:type="dxa"/>
              <w:right w:w="100.0" w:type="dxa"/>
            </w:tcMar>
            <w:vAlign w:val="top"/>
          </w:tcPr>
          <w:p w:rsidR="00000000" w:rsidDel="00000000" w:rsidP="00000000" w:rsidRDefault="00000000" w:rsidRPr="00000000" w14:paraId="00000019">
            <w:pPr>
              <w:pStyle w:val="Heading5"/>
              <w:spacing w:after="0" w:before="0" w:line="240" w:lineRule="auto"/>
              <w:rPr>
                <w:b w:val="1"/>
                <w:color w:val="ffffff"/>
                <w:sz w:val="24"/>
                <w:szCs w:val="24"/>
              </w:rPr>
            </w:pPr>
            <w:bookmarkStart w:colFirst="0" w:colLast="0" w:name="_5a7av2ukfk3p" w:id="6"/>
            <w:bookmarkEnd w:id="6"/>
            <w:r w:rsidDel="00000000" w:rsidR="00000000" w:rsidRPr="00000000">
              <w:rPr>
                <w:b w:val="1"/>
                <w:color w:val="ffffff"/>
                <w:sz w:val="24"/>
                <w:szCs w:val="24"/>
                <w:rtl w:val="0"/>
              </w:rPr>
              <w:t xml:space="preserve">Additional Actions</w:t>
            </w:r>
          </w:p>
        </w:tc>
      </w:tr>
      <w:tr>
        <w:trPr>
          <w:cantSplit w:val="0"/>
          <w:trHeight w:val="420" w:hRule="atLeast"/>
          <w:tblHeader w:val="0"/>
        </w:trPr>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200" w:line="240" w:lineRule="auto"/>
              <w:rPr>
                <w:b w:val="1"/>
                <w:color w:val="00247d"/>
                <w:sz w:val="20"/>
                <w:szCs w:val="20"/>
              </w:rPr>
            </w:pPr>
            <w:r w:rsidDel="00000000" w:rsidR="00000000" w:rsidRPr="00000000">
              <w:rPr>
                <w:b w:val="1"/>
                <w:color w:val="00247d"/>
                <w:sz w:val="20"/>
                <w:szCs w:val="20"/>
                <w:rtl w:val="0"/>
              </w:rPr>
              <w:t xml:space="preserve">Collect, analyse and use disaggregated data for your subcontractors, implementers, and grantees</w:t>
            </w:r>
          </w:p>
        </w:tc>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200" w:line="240" w:lineRule="auto"/>
              <w:rPr>
                <w:sz w:val="20"/>
                <w:szCs w:val="20"/>
              </w:rPr>
            </w:pPr>
            <w:r w:rsidDel="00000000" w:rsidR="00000000" w:rsidRPr="00000000">
              <w:rPr>
                <w:sz w:val="20"/>
                <w:szCs w:val="20"/>
                <w:rtl w:val="0"/>
              </w:rPr>
              <w:t xml:space="preserve">Add whether or not a business is owned or led by members of other marginalised groups to your competition and procurement tender process.</w:t>
            </w:r>
          </w:p>
          <w:p w:rsidR="00000000" w:rsidDel="00000000" w:rsidP="00000000" w:rsidRDefault="00000000" w:rsidRPr="00000000" w14:paraId="0000001E">
            <w:pPr>
              <w:spacing w:after="120" w:before="120" w:line="240" w:lineRule="auto"/>
              <w:rPr>
                <w:sz w:val="20"/>
                <w:szCs w:val="20"/>
              </w:rPr>
            </w:pPr>
            <w:r w:rsidDel="00000000" w:rsidR="00000000" w:rsidRPr="00000000">
              <w:rPr>
                <w:sz w:val="20"/>
                <w:szCs w:val="20"/>
                <w:rtl w:val="0"/>
              </w:rPr>
              <w:t xml:space="preserve">As a starting point, you can use the GEDSI Contracts Tracker to understand supplier leadership and ownership. </w:t>
            </w:r>
          </w:p>
        </w:tc>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2"/>
              </w:numPr>
              <w:spacing w:after="200" w:line="240" w:lineRule="auto"/>
              <w:ind w:left="720" w:hanging="360"/>
              <w:jc w:val="center"/>
              <w:rPr/>
            </w:pPr>
            <w:r w:rsidDel="00000000" w:rsidR="00000000" w:rsidRPr="00000000">
              <w:rPr>
                <w:rtl w:val="0"/>
              </w:rPr>
            </w:r>
          </w:p>
        </w:tc>
      </w:tr>
      <w:tr>
        <w:trPr>
          <w:cantSplit w:val="0"/>
          <w:trHeight w:val="420" w:hRule="atLeast"/>
          <w:tblHeader w:val="0"/>
        </w:trPr>
        <w:tc>
          <w:tcPr>
            <w:vMerge w:val="restart"/>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120" w:line="240" w:lineRule="auto"/>
              <w:rPr>
                <w:b w:val="1"/>
                <w:color w:val="00247d"/>
                <w:sz w:val="20"/>
                <w:szCs w:val="20"/>
              </w:rPr>
            </w:pPr>
            <w:r w:rsidDel="00000000" w:rsidR="00000000" w:rsidRPr="00000000">
              <w:rPr>
                <w:b w:val="1"/>
                <w:color w:val="00247d"/>
                <w:sz w:val="20"/>
                <w:szCs w:val="20"/>
                <w:rtl w:val="0"/>
              </w:rPr>
              <w:t xml:space="preserve">Set, monitor, and track GEDSI-inclusive procurement indicators</w:t>
            </w:r>
          </w:p>
        </w:tc>
        <w:tc>
          <w:tcPr>
            <w:vMerge w:val="restart"/>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200" w:line="240" w:lineRule="auto"/>
              <w:rPr>
                <w:sz w:val="20"/>
                <w:szCs w:val="20"/>
              </w:rPr>
            </w:pPr>
            <w:r w:rsidDel="00000000" w:rsidR="00000000" w:rsidRPr="00000000">
              <w:rPr>
                <w:sz w:val="20"/>
                <w:szCs w:val="20"/>
                <w:rtl w:val="0"/>
              </w:rPr>
              <w:t xml:space="preserve">Set explicit targets for diversity and social inclusion in your supply chain and communicate this to employees and other stakeholders.</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hd w:fill="ffffff" w:val="clear"/>
              <w:spacing w:after="200" w:line="276" w:lineRule="auto"/>
              <w:rPr>
                <w:sz w:val="20"/>
                <w:szCs w:val="20"/>
              </w:rPr>
            </w:pPr>
            <w:r w:rsidDel="00000000" w:rsidR="00000000" w:rsidRPr="00000000">
              <w:rPr>
                <w:sz w:val="20"/>
                <w:szCs w:val="20"/>
                <w:rtl w:val="0"/>
              </w:rPr>
              <w:t xml:space="preserve">Set indicators to ensure compliance with policies, measure progress, and to signal any necessary adjustments or improvements.</w:t>
            </w:r>
            <w:r w:rsidDel="00000000" w:rsidR="00000000" w:rsidRPr="00000000">
              <w:rPr>
                <w:sz w:val="20"/>
                <w:szCs w:val="20"/>
                <w:vertAlign w:val="superscript"/>
              </w:rPr>
              <w:footnoteReference w:customMarkFollows="0" w:id="2"/>
            </w:r>
            <w:r w:rsidDel="00000000" w:rsidR="00000000" w:rsidRPr="00000000">
              <w:rPr>
                <w:rtl w:val="0"/>
              </w:rPr>
            </w:r>
          </w:p>
        </w:tc>
        <w:tc>
          <w:tcPr>
            <w:tcBorders>
              <w:top w:color="990066"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5"/>
              </w:numPr>
              <w:spacing w:after="200" w:line="240" w:lineRule="auto"/>
              <w:ind w:left="720" w:hanging="360"/>
              <w:jc w:val="center"/>
              <w:rPr/>
            </w:pPr>
            <w:r w:rsidDel="00000000" w:rsidR="00000000" w:rsidRPr="00000000">
              <w:rPr>
                <w:rtl w:val="0"/>
              </w:rPr>
            </w:r>
          </w:p>
        </w:tc>
      </w:tr>
      <w:tr>
        <w:trPr>
          <w:cantSplit w:val="0"/>
          <w:trHeight w:val="1440" w:hRule="atLeast"/>
          <w:tblHeader w:val="0"/>
        </w:trPr>
        <w:tc>
          <w:tcPr>
            <w:vMerge w:val="continue"/>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after="120" w:line="240" w:lineRule="auto"/>
              <w:jc w:val="both"/>
              <w:rPr>
                <w:color w:val="00247d"/>
              </w:rPr>
            </w:pPr>
            <w:r w:rsidDel="00000000" w:rsidR="00000000" w:rsidRPr="00000000">
              <w:rPr>
                <w:rtl w:val="0"/>
              </w:rPr>
            </w:r>
          </w:p>
        </w:tc>
        <w:tc>
          <w:tcPr>
            <w:vMerge w:val="continue"/>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6"/>
              </w:numPr>
              <w:spacing w:after="200" w:line="240" w:lineRule="auto"/>
              <w:ind w:left="720" w:hanging="360"/>
              <w:jc w:val="both"/>
              <w:rPr/>
            </w:pPr>
            <w:r w:rsidDel="00000000" w:rsidR="00000000" w:rsidRPr="00000000">
              <w:rPr>
                <w:rtl w:val="0"/>
              </w:rPr>
            </w:r>
          </w:p>
        </w:tc>
        <w:tc>
          <w:tcPr>
            <w:tcBorders>
              <w:top w:color="000000" w:space="0" w:sz="0" w:val="nil"/>
              <w:left w:color="000000" w:space="0" w:sz="0" w:val="nil"/>
              <w:bottom w:color="990066"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200" w:line="240" w:lineRule="auto"/>
              <w:jc w:val="both"/>
              <w:rPr/>
            </w:pPr>
            <w:r w:rsidDel="00000000" w:rsidR="00000000" w:rsidRPr="00000000">
              <w:rPr>
                <w:rtl w:val="0"/>
              </w:rPr>
            </w:r>
          </w:p>
        </w:tc>
      </w:tr>
      <w:tr>
        <w:trPr>
          <w:cantSplit w:val="0"/>
          <w:trHeight w:val="420" w:hRule="atLeast"/>
          <w:tblHeader w:val="0"/>
        </w:trPr>
        <w:tc>
          <w:tcPr>
            <w:tcBorders>
              <w:top w:color="990066" w:space="0" w:sz="8" w:val="single"/>
              <w:left w:color="000000" w:space="0" w:sz="0" w:val="nil"/>
              <w:bottom w:color="990066"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after="120" w:line="240" w:lineRule="auto"/>
              <w:rPr>
                <w:b w:val="1"/>
                <w:color w:val="00247d"/>
                <w:sz w:val="20"/>
                <w:szCs w:val="20"/>
              </w:rPr>
            </w:pPr>
            <w:r w:rsidDel="00000000" w:rsidR="00000000" w:rsidRPr="00000000">
              <w:rPr>
                <w:b w:val="1"/>
                <w:color w:val="00247d"/>
                <w:sz w:val="20"/>
                <w:szCs w:val="20"/>
                <w:rtl w:val="0"/>
              </w:rPr>
              <w:t xml:space="preserve">Add GEDSI into your evaluations of prospective subcontractors, implementers, and grantees</w:t>
            </w:r>
          </w:p>
        </w:tc>
        <w:tc>
          <w:tcPr>
            <w:tcBorders>
              <w:top w:color="990066" w:space="0" w:sz="8" w:val="single"/>
              <w:left w:color="000000" w:space="0" w:sz="0" w:val="nil"/>
              <w:bottom w:color="990066"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200" w:line="240" w:lineRule="auto"/>
              <w:rPr>
                <w:sz w:val="20"/>
                <w:szCs w:val="20"/>
              </w:rPr>
            </w:pPr>
            <w:r w:rsidDel="00000000" w:rsidR="00000000" w:rsidRPr="00000000">
              <w:rPr>
                <w:sz w:val="20"/>
                <w:szCs w:val="20"/>
                <w:rtl w:val="0"/>
              </w:rPr>
              <w:t xml:space="preserve">Consider GEDSI factors in evaluating and selecting new subcontractors, implementers, and grantees.</w:t>
            </w:r>
          </w:p>
        </w:tc>
        <w:tc>
          <w:tcPr>
            <w:tcBorders>
              <w:top w:color="990066" w:space="0" w:sz="8" w:val="single"/>
              <w:left w:color="000000" w:space="0" w:sz="0" w:val="nil"/>
              <w:bottom w:color="990066"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5"/>
              </w:numPr>
              <w:spacing w:after="200" w:line="240" w:lineRule="auto"/>
              <w:ind w:left="720" w:hanging="360"/>
              <w:jc w:val="center"/>
              <w:rPr/>
            </w:pPr>
            <w:r w:rsidDel="00000000" w:rsidR="00000000" w:rsidRPr="00000000">
              <w:rPr>
                <w:rtl w:val="0"/>
              </w:rPr>
            </w:r>
          </w:p>
        </w:tc>
      </w:tr>
    </w:tbl>
    <w:p w:rsidR="00000000" w:rsidDel="00000000" w:rsidP="00000000" w:rsidRDefault="00000000" w:rsidRPr="00000000" w14:paraId="0000002A">
      <w:pPr>
        <w:pStyle w:val="Subtitle"/>
        <w:spacing w:after="120" w:before="120" w:line="240" w:lineRule="auto"/>
        <w:jc w:val="both"/>
        <w:rPr/>
      </w:pPr>
      <w:bookmarkStart w:colFirst="0" w:colLast="0" w:name="_2z526ketch6u" w:id="7"/>
      <w:bookmarkEnd w:id="7"/>
      <w:r w:rsidDel="00000000" w:rsidR="00000000" w:rsidRPr="00000000">
        <w:rPr>
          <w:rtl w:val="0"/>
        </w:rPr>
      </w:r>
    </w:p>
    <w:p w:rsidR="00000000" w:rsidDel="00000000" w:rsidP="00000000" w:rsidRDefault="00000000" w:rsidRPr="00000000" w14:paraId="0000002B">
      <w:pPr>
        <w:spacing w:after="200" w:lineRule="auto"/>
        <w:rPr>
          <w:rFonts w:ascii="Roboto Light" w:cs="Roboto Light" w:eastAsia="Roboto Light" w:hAnsi="Roboto Light"/>
          <w:color w:val="1f1f1f"/>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C">
      <w:pPr>
        <w:spacing w:after="200" w:lineRule="auto"/>
        <w:rPr>
          <w:rFonts w:ascii="Roboto Light" w:cs="Roboto Light" w:eastAsia="Roboto Light" w:hAnsi="Roboto Light"/>
          <w:color w:val="1f1f1f"/>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7140"/>
        <w:tblGridChange w:id="0">
          <w:tblGrid>
            <w:gridCol w:w="2220"/>
            <w:gridCol w:w="7140"/>
          </w:tblGrid>
        </w:tblGridChange>
      </w:tblGrid>
      <w:tr>
        <w:trPr>
          <w:cantSplit w:val="0"/>
          <w:trHeight w:val="285" w:hRule="atLeast"/>
          <w:tblHeader w:val="0"/>
        </w:trPr>
        <w:tc>
          <w:tcPr>
            <w:gridSpan w:val="2"/>
            <w:tcBorders>
              <w:top w:color="000000" w:space="0" w:sz="0" w:val="nil"/>
              <w:left w:color="000000" w:space="0" w:sz="0" w:val="nil"/>
              <w:bottom w:color="8a2be2" w:space="0" w:sz="8" w:val="single"/>
              <w:right w:color="000000" w:space="0" w:sz="0" w:val="nil"/>
            </w:tcBorders>
            <w:shd w:fill="990066" w:val="clear"/>
            <w:tcMar>
              <w:top w:w="0.0" w:type="dxa"/>
              <w:left w:w="40.0" w:type="dxa"/>
              <w:bottom w:w="0.0" w:type="dxa"/>
              <w:right w:w="40.0" w:type="dxa"/>
            </w:tcMar>
            <w:vAlign w:val="center"/>
          </w:tcPr>
          <w:p w:rsidR="00000000" w:rsidDel="00000000" w:rsidP="00000000" w:rsidRDefault="00000000" w:rsidRPr="00000000" w14:paraId="0000002D">
            <w:pPr>
              <w:pStyle w:val="Heading5"/>
              <w:spacing w:after="0" w:before="0" w:lineRule="auto"/>
              <w:rPr>
                <w:b w:val="1"/>
                <w:color w:val="ffffff"/>
                <w:sz w:val="24"/>
                <w:szCs w:val="24"/>
              </w:rPr>
            </w:pPr>
            <w:bookmarkStart w:colFirst="0" w:colLast="0" w:name="_c33e3onfyih" w:id="8"/>
            <w:bookmarkEnd w:id="8"/>
            <w:r w:rsidDel="00000000" w:rsidR="00000000" w:rsidRPr="00000000">
              <w:rPr>
                <w:b w:val="1"/>
                <w:color w:val="ffffff"/>
                <w:sz w:val="24"/>
                <w:szCs w:val="24"/>
                <w:rtl w:val="0"/>
              </w:rPr>
              <w:t xml:space="preserve">Useful Terms for Section 6 (GEDSI-inclusive Procurement Guidance and Checklist)</w:t>
            </w:r>
          </w:p>
        </w:tc>
      </w:tr>
      <w:tr>
        <w:trPr>
          <w:cantSplit w:val="0"/>
          <w:trHeight w:val="285" w:hRule="atLeast"/>
          <w:tblHeader w:val="0"/>
        </w:trPr>
        <w:tc>
          <w:tcPr>
            <w:tcBorders>
              <w:top w:color="8a2be2"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2F">
            <w:pPr>
              <w:spacing w:after="200" w:line="240" w:lineRule="auto"/>
              <w:rPr>
                <w:b w:val="1"/>
                <w:color w:val="1f1f1f"/>
              </w:rPr>
            </w:pPr>
            <w:r w:rsidDel="00000000" w:rsidR="00000000" w:rsidRPr="00000000">
              <w:rPr>
                <w:b w:val="1"/>
                <w:color w:val="1f1f1f"/>
                <w:rtl w:val="0"/>
              </w:rPr>
              <w:t xml:space="preserve">Term</w:t>
            </w:r>
          </w:p>
        </w:tc>
        <w:tc>
          <w:tcPr>
            <w:tcBorders>
              <w:top w:color="8a2be2" w:space="0" w:sz="8" w:val="single"/>
              <w:left w:color="000000" w:space="0" w:sz="0" w:val="nil"/>
              <w:bottom w:color="990066" w:space="0" w:sz="8" w:val="single"/>
              <w:right w:color="000000" w:space="0" w:sz="0" w:val="nil"/>
            </w:tcBorders>
            <w:shd w:fill="e7e6e6" w:val="clear"/>
            <w:tcMar>
              <w:top w:w="0.0" w:type="dxa"/>
              <w:left w:w="40.0" w:type="dxa"/>
              <w:bottom w:w="0.0" w:type="dxa"/>
              <w:right w:w="40.0" w:type="dxa"/>
            </w:tcMar>
            <w:vAlign w:val="center"/>
          </w:tcPr>
          <w:p w:rsidR="00000000" w:rsidDel="00000000" w:rsidP="00000000" w:rsidRDefault="00000000" w:rsidRPr="00000000" w14:paraId="00000030">
            <w:pPr>
              <w:spacing w:after="200" w:line="240" w:lineRule="auto"/>
              <w:rPr>
                <w:b w:val="1"/>
                <w:color w:val="1f1f1f"/>
              </w:rPr>
            </w:pPr>
            <w:r w:rsidDel="00000000" w:rsidR="00000000" w:rsidRPr="00000000">
              <w:rPr>
                <w:b w:val="1"/>
                <w:color w:val="1f1f1f"/>
                <w:rtl w:val="0"/>
              </w:rPr>
              <w:t xml:space="preserve">Definition</w:t>
            </w:r>
          </w:p>
        </w:tc>
      </w:tr>
      <w:tr>
        <w:trPr>
          <w:cantSplit w:val="0"/>
          <w:trHeight w:val="285" w:hRule="atLeast"/>
          <w:tblHeader w:val="0"/>
        </w:trPr>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31">
            <w:pPr>
              <w:spacing w:after="200" w:line="240" w:lineRule="auto"/>
              <w:rPr>
                <w:b w:val="1"/>
                <w:color w:val="1f1f1f"/>
                <w:sz w:val="20"/>
                <w:szCs w:val="20"/>
              </w:rPr>
            </w:pPr>
            <w:r w:rsidDel="00000000" w:rsidR="00000000" w:rsidRPr="00000000">
              <w:rPr>
                <w:b w:val="1"/>
                <w:color w:val="1f1f1f"/>
                <w:sz w:val="20"/>
                <w:szCs w:val="20"/>
                <w:rtl w:val="0"/>
              </w:rPr>
              <w:t xml:space="preserve">Procurement</w:t>
            </w:r>
          </w:p>
        </w:tc>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2">
            <w:pPr>
              <w:spacing w:after="200" w:line="240" w:lineRule="auto"/>
              <w:rPr>
                <w:sz w:val="20"/>
                <w:szCs w:val="20"/>
              </w:rPr>
            </w:pPr>
            <w:r w:rsidDel="00000000" w:rsidR="00000000" w:rsidRPr="00000000">
              <w:rPr>
                <w:sz w:val="20"/>
                <w:szCs w:val="20"/>
                <w:highlight w:val="white"/>
                <w:rtl w:val="0"/>
              </w:rPr>
              <w:t xml:space="preserve">The </w:t>
            </w:r>
            <w:r w:rsidDel="00000000" w:rsidR="00000000" w:rsidRPr="00000000">
              <w:rPr>
                <w:sz w:val="20"/>
                <w:szCs w:val="20"/>
                <w:rtl w:val="0"/>
              </w:rPr>
              <w:t xml:space="preserve">selection of goods, services or civil work. </w:t>
            </w:r>
          </w:p>
        </w:tc>
      </w:tr>
      <w:tr>
        <w:trPr>
          <w:cantSplit w:val="0"/>
          <w:trHeight w:val="285" w:hRule="atLeast"/>
          <w:tblHeader w:val="0"/>
        </w:trPr>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33">
            <w:pPr>
              <w:spacing w:after="200" w:line="240" w:lineRule="auto"/>
              <w:rPr>
                <w:b w:val="1"/>
                <w:color w:val="1f1f1f"/>
                <w:sz w:val="20"/>
                <w:szCs w:val="20"/>
              </w:rPr>
            </w:pPr>
            <w:r w:rsidDel="00000000" w:rsidR="00000000" w:rsidRPr="00000000">
              <w:rPr>
                <w:b w:val="1"/>
                <w:color w:val="1f1f1f"/>
                <w:sz w:val="20"/>
                <w:szCs w:val="20"/>
                <w:rtl w:val="0"/>
              </w:rPr>
              <w:t xml:space="preserve">Subcontractors</w:t>
            </w:r>
          </w:p>
        </w:tc>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4">
            <w:pPr>
              <w:spacing w:after="200" w:line="240" w:lineRule="auto"/>
              <w:rPr>
                <w:color w:val="1f1f1f"/>
                <w:sz w:val="20"/>
                <w:szCs w:val="20"/>
              </w:rPr>
            </w:pPr>
            <w:r w:rsidDel="00000000" w:rsidR="00000000" w:rsidRPr="00000000">
              <w:rPr>
                <w:color w:val="1f1f1f"/>
                <w:sz w:val="20"/>
                <w:szCs w:val="20"/>
                <w:rtl w:val="0"/>
              </w:rPr>
              <w:t xml:space="preserve">Third-party entities or individuals contracted to perform specific tasks or services as part of a larger project.</w:t>
            </w:r>
          </w:p>
        </w:tc>
      </w:tr>
      <w:tr>
        <w:trPr>
          <w:cantSplit w:val="0"/>
          <w:trHeight w:val="285" w:hRule="atLeast"/>
          <w:tblHeader w:val="0"/>
        </w:trPr>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35">
            <w:pPr>
              <w:spacing w:after="200" w:line="240" w:lineRule="auto"/>
              <w:rPr>
                <w:b w:val="1"/>
                <w:color w:val="1f1f1f"/>
                <w:sz w:val="20"/>
                <w:szCs w:val="20"/>
              </w:rPr>
            </w:pPr>
            <w:r w:rsidDel="00000000" w:rsidR="00000000" w:rsidRPr="00000000">
              <w:rPr>
                <w:b w:val="1"/>
                <w:color w:val="1f1f1f"/>
                <w:sz w:val="20"/>
                <w:szCs w:val="20"/>
                <w:rtl w:val="0"/>
              </w:rPr>
              <w:t xml:space="preserve">Implementers</w:t>
            </w:r>
          </w:p>
        </w:tc>
        <w:tc>
          <w:tcPr>
            <w:tcBorders>
              <w:top w:color="990066" w:space="0" w:sz="8" w:val="single"/>
              <w:left w:color="000000" w:space="0" w:sz="0" w:val="nil"/>
              <w:bottom w:color="990066" w:space="0" w:sz="8" w:val="single"/>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6">
            <w:pPr>
              <w:spacing w:after="200" w:line="240" w:lineRule="auto"/>
              <w:rPr>
                <w:color w:val="1f1f1f"/>
                <w:sz w:val="20"/>
                <w:szCs w:val="20"/>
              </w:rPr>
            </w:pPr>
            <w:r w:rsidDel="00000000" w:rsidR="00000000" w:rsidRPr="00000000">
              <w:rPr>
                <w:color w:val="1f1f1f"/>
                <w:sz w:val="20"/>
                <w:szCs w:val="20"/>
                <w:rtl w:val="0"/>
              </w:rPr>
              <w:t xml:space="preserve">Third-party entities or individuals contacted to implement project activities.</w:t>
            </w:r>
          </w:p>
        </w:tc>
      </w:tr>
      <w:tr>
        <w:trPr>
          <w:cantSplit w:val="0"/>
          <w:trHeight w:val="285" w:hRule="atLeast"/>
          <w:tblHeader w:val="0"/>
        </w:trPr>
        <w:tc>
          <w:tcPr>
            <w:tcBorders>
              <w:top w:color="990066" w:space="0" w:sz="8" w:val="single"/>
              <w:left w:color="000000" w:space="0" w:sz="0" w:val="nil"/>
              <w:bottom w:color="990066" w:space="0" w:sz="12"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37">
            <w:pPr>
              <w:spacing w:after="200" w:line="240" w:lineRule="auto"/>
              <w:rPr>
                <w:b w:val="1"/>
                <w:color w:val="1f1f1f"/>
                <w:sz w:val="20"/>
                <w:szCs w:val="20"/>
              </w:rPr>
            </w:pPr>
            <w:r w:rsidDel="00000000" w:rsidR="00000000" w:rsidRPr="00000000">
              <w:rPr>
                <w:b w:val="1"/>
                <w:color w:val="1f1f1f"/>
                <w:sz w:val="20"/>
                <w:szCs w:val="20"/>
                <w:rtl w:val="0"/>
              </w:rPr>
              <w:t xml:space="preserve">Grantees</w:t>
            </w:r>
          </w:p>
        </w:tc>
        <w:tc>
          <w:tcPr>
            <w:tcBorders>
              <w:top w:color="990066" w:space="0" w:sz="8" w:val="single"/>
              <w:left w:color="000000" w:space="0" w:sz="0" w:val="nil"/>
              <w:bottom w:color="990066" w:space="0" w:sz="12" w:val="single"/>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8">
            <w:pPr>
              <w:spacing w:after="200" w:line="240" w:lineRule="auto"/>
              <w:rPr>
                <w:color w:val="1f1f1f"/>
                <w:sz w:val="20"/>
                <w:szCs w:val="20"/>
              </w:rPr>
            </w:pPr>
            <w:r w:rsidDel="00000000" w:rsidR="00000000" w:rsidRPr="00000000">
              <w:rPr>
                <w:color w:val="1f1f1f"/>
                <w:sz w:val="20"/>
                <w:szCs w:val="20"/>
                <w:rtl w:val="0"/>
              </w:rPr>
              <w:t xml:space="preserve">Third-party entities or individuals awarded funding through a partner and project.</w:t>
            </w:r>
          </w:p>
        </w:tc>
      </w:tr>
    </w:tbl>
    <w:p w:rsidR="00000000" w:rsidDel="00000000" w:rsidP="00000000" w:rsidRDefault="00000000" w:rsidRPr="00000000" w14:paraId="00000039">
      <w:pPr>
        <w:shd w:fill="ffffff" w:val="clear"/>
        <w:rPr/>
      </w:pPr>
      <w:r w:rsidDel="00000000" w:rsidR="00000000" w:rsidRPr="00000000">
        <w:rPr>
          <w:rtl w:val="0"/>
        </w:rPr>
      </w:r>
    </w:p>
    <w:p w:rsidR="00000000" w:rsidDel="00000000" w:rsidP="00000000" w:rsidRDefault="00000000" w:rsidRPr="00000000" w14:paraId="0000003A">
      <w:pPr>
        <w:shd w:fill="ffffff" w:val="clear"/>
        <w:rPr/>
      </w:pPr>
      <w:r w:rsidDel="00000000" w:rsidR="00000000" w:rsidRPr="00000000">
        <w:rPr>
          <w:rtl w:val="0"/>
        </w:rPr>
        <w:t xml:space="preserve">This tool is part of the TEA Gender Equality, Disability &amp; Social Inclusion (GEDSI) Toolkit. For further details on this tool please refer to the GEDSI Toolkit Overview and Guide. If you have any questions on this specific tool or want to know more about the full toolkit, please contact </w:t>
      </w:r>
      <w:hyperlink r:id="rId9">
        <w:r w:rsidDel="00000000" w:rsidR="00000000" w:rsidRPr="00000000">
          <w:rPr>
            <w:u w:val="single"/>
            <w:rtl w:val="0"/>
          </w:rPr>
          <w:t xml:space="preserve">TEAadmin@carbontrust.com</w:t>
        </w:r>
      </w:hyperlink>
      <w:r w:rsidDel="00000000" w:rsidR="00000000" w:rsidRPr="00000000">
        <w:rPr>
          <w:rtl w:val="0"/>
        </w:rPr>
        <w:t xml:space="preserve">.</w:t>
      </w:r>
    </w:p>
    <w:p w:rsidR="00000000" w:rsidDel="00000000" w:rsidP="00000000" w:rsidRDefault="00000000" w:rsidRPr="00000000" w14:paraId="0000003B">
      <w:pPr>
        <w:spacing w:after="160" w:before="160" w:line="276" w:lineRule="auto"/>
        <w:rPr/>
      </w:pPr>
      <w:r w:rsidDel="00000000" w:rsidR="00000000" w:rsidRPr="00000000">
        <w:rPr>
          <w:rtl w:val="0"/>
        </w:rPr>
        <w:t xml:space="preserve">This material has been funded by UK aid from the UK government; however the views expressed do not necessarily reflect the UK government's official policies.</w:t>
      </w:r>
    </w:p>
    <w:p w:rsidR="00000000" w:rsidDel="00000000" w:rsidP="00000000" w:rsidRDefault="00000000" w:rsidRPr="00000000" w14:paraId="0000003C">
      <w:pPr>
        <w:spacing w:after="160" w:before="160" w:line="276" w:lineRule="auto"/>
        <w:rPr/>
      </w:pPr>
      <w:r w:rsidDel="00000000" w:rsidR="00000000" w:rsidRPr="00000000">
        <w:rPr>
          <w:rtl w:val="0"/>
        </w:rPr>
        <w:t xml:space="preserve">This project was funded with UK aid from the UK government via the Transforming Energy Access Platform (TEA).</w:t>
      </w:r>
    </w:p>
    <w:p w:rsidR="00000000" w:rsidDel="00000000" w:rsidP="00000000" w:rsidRDefault="00000000" w:rsidRPr="00000000" w14:paraId="0000003D">
      <w:pPr>
        <w:spacing w:after="160" w:before="160" w:line="276" w:lineRule="auto"/>
        <w:rPr/>
      </w:pPr>
      <w:r w:rsidDel="00000000" w:rsidR="00000000" w:rsidRPr="00000000">
        <w:rPr>
          <w:rtl w:val="0"/>
        </w:rPr>
        <w:t xml:space="preserve">TEA works via partnership to support emerging clean energy generation technologies, productive appliances, smart networks, energy storage, and more. It increases access to clean, modern energy services for people and enterprises in sub-Saharan Africa, South Asia and the Indo Pacific, improving their lives, creating jobs and boosting green economic opportunities.</w:t>
      </w:r>
    </w:p>
    <w:p w:rsidR="00000000" w:rsidDel="00000000" w:rsidP="00000000" w:rsidRDefault="00000000" w:rsidRPr="00000000" w14:paraId="0000003E">
      <w:pPr>
        <w:pStyle w:val="Heading3"/>
        <w:rPr/>
      </w:pPr>
      <w:bookmarkStart w:colFirst="0" w:colLast="0" w:name="_qyusqusa5jts" w:id="9"/>
      <w:bookmarkEnd w:id="9"/>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3F">
      <w:pPr>
        <w:spacing w:after="200" w:line="240" w:lineRule="auto"/>
        <w:rPr>
          <w:sz w:val="18"/>
          <w:szCs w:val="18"/>
        </w:rPr>
      </w:pPr>
      <w:r w:rsidDel="00000000" w:rsidR="00000000" w:rsidRPr="00000000">
        <w:rPr>
          <w:rStyle w:val="FootnoteReference"/>
          <w:vertAlign w:val="superscript"/>
        </w:rPr>
        <w:footnoteRef/>
      </w:r>
      <w:r w:rsidDel="00000000" w:rsidR="00000000" w:rsidRPr="00000000">
        <w:rPr>
          <w:color w:val="1f1f1f"/>
          <w:sz w:val="20"/>
          <w:szCs w:val="20"/>
          <w:rtl w:val="0"/>
        </w:rPr>
        <w:t xml:space="preserve"> </w:t>
      </w:r>
      <w:r w:rsidDel="00000000" w:rsidR="00000000" w:rsidRPr="00000000">
        <w:rPr>
          <w:sz w:val="18"/>
          <w:szCs w:val="18"/>
          <w:rtl w:val="0"/>
        </w:rPr>
        <w:t xml:space="preserve">Example indicators - which can be collected via self-assessment surveys - can include but are not limited to:</w:t>
      </w:r>
    </w:p>
    <w:p w:rsidR="00000000" w:rsidDel="00000000" w:rsidP="00000000" w:rsidRDefault="00000000" w:rsidRPr="00000000" w14:paraId="00000040">
      <w:pPr>
        <w:numPr>
          <w:ilvl w:val="0"/>
          <w:numId w:val="3"/>
        </w:numPr>
        <w:pBdr>
          <w:top w:color="auto" w:space="0" w:sz="0" w:val="none"/>
          <w:bottom w:color="auto" w:space="0" w:sz="0" w:val="none"/>
          <w:right w:color="auto" w:space="0" w:sz="0" w:val="none"/>
          <w:between w:color="auto" w:space="0" w:sz="0" w:val="none"/>
        </w:pBdr>
        <w:shd w:fill="ffffff" w:val="clear"/>
        <w:spacing w:line="276" w:lineRule="auto"/>
        <w:ind w:left="720" w:hanging="360"/>
        <w:jc w:val="both"/>
        <w:rPr>
          <w:sz w:val="18"/>
          <w:szCs w:val="18"/>
        </w:rPr>
      </w:pPr>
      <w:r w:rsidDel="00000000" w:rsidR="00000000" w:rsidRPr="00000000">
        <w:rPr>
          <w:sz w:val="18"/>
          <w:szCs w:val="18"/>
          <w:rtl w:val="0"/>
        </w:rPr>
        <w:t xml:space="preserve">% procurement spend with businesses owned or led by women </w:t>
      </w:r>
    </w:p>
    <w:p w:rsidR="00000000" w:rsidDel="00000000" w:rsidP="00000000" w:rsidRDefault="00000000" w:rsidRPr="00000000" w14:paraId="00000041">
      <w:pPr>
        <w:numPr>
          <w:ilvl w:val="0"/>
          <w:numId w:val="3"/>
        </w:numPr>
        <w:pBdr>
          <w:top w:color="auto" w:space="0" w:sz="0" w:val="none"/>
          <w:bottom w:color="auto" w:space="0" w:sz="0" w:val="none"/>
          <w:right w:color="auto" w:space="0" w:sz="0" w:val="none"/>
          <w:between w:color="auto" w:space="0" w:sz="0" w:val="none"/>
        </w:pBdr>
        <w:shd w:fill="ffffff" w:val="clear"/>
        <w:spacing w:line="276" w:lineRule="auto"/>
        <w:ind w:left="720" w:hanging="360"/>
        <w:jc w:val="both"/>
        <w:rPr>
          <w:sz w:val="18"/>
          <w:szCs w:val="18"/>
        </w:rPr>
      </w:pPr>
      <w:r w:rsidDel="00000000" w:rsidR="00000000" w:rsidRPr="00000000">
        <w:rPr>
          <w:sz w:val="18"/>
          <w:szCs w:val="18"/>
          <w:rtl w:val="0"/>
        </w:rPr>
        <w:t xml:space="preserve">% procurement spend with 2X compliant businesses</w:t>
      </w:r>
    </w:p>
    <w:p w:rsidR="00000000" w:rsidDel="00000000" w:rsidP="00000000" w:rsidRDefault="00000000" w:rsidRPr="00000000" w14:paraId="00000042">
      <w:pPr>
        <w:numPr>
          <w:ilvl w:val="0"/>
          <w:numId w:val="3"/>
        </w:numPr>
        <w:pBdr>
          <w:top w:color="auto" w:space="0" w:sz="0" w:val="none"/>
          <w:bottom w:color="auto" w:space="0" w:sz="0" w:val="none"/>
          <w:right w:color="auto" w:space="0" w:sz="0" w:val="none"/>
          <w:between w:color="auto" w:space="0" w:sz="0" w:val="none"/>
        </w:pBdr>
        <w:shd w:fill="ffffff" w:val="clear"/>
        <w:spacing w:line="276" w:lineRule="auto"/>
        <w:ind w:left="720" w:hanging="360"/>
        <w:jc w:val="both"/>
        <w:rPr>
          <w:sz w:val="18"/>
          <w:szCs w:val="18"/>
        </w:rPr>
      </w:pPr>
      <w:r w:rsidDel="00000000" w:rsidR="00000000" w:rsidRPr="00000000">
        <w:rPr>
          <w:sz w:val="18"/>
          <w:szCs w:val="18"/>
          <w:rtl w:val="0"/>
        </w:rPr>
        <w:t xml:space="preserve">% procurement spend with businesses with GEDSI commitments</w:t>
      </w:r>
    </w:p>
    <w:p w:rsidR="00000000" w:rsidDel="00000000" w:rsidP="00000000" w:rsidRDefault="00000000" w:rsidRPr="00000000" w14:paraId="00000043">
      <w:pPr>
        <w:numPr>
          <w:ilvl w:val="0"/>
          <w:numId w:val="3"/>
        </w:numPr>
        <w:pBdr>
          <w:top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18"/>
          <w:szCs w:val="18"/>
        </w:rPr>
      </w:pPr>
      <w:r w:rsidDel="00000000" w:rsidR="00000000" w:rsidRPr="00000000">
        <w:rPr>
          <w:sz w:val="18"/>
          <w:szCs w:val="18"/>
          <w:rtl w:val="0"/>
        </w:rPr>
        <w:t xml:space="preserve">% workers in the supply chain receiving a living wage, disaggregated by sex.</w:t>
      </w:r>
      <w:r w:rsidDel="00000000" w:rsidR="00000000" w:rsidRPr="00000000">
        <w:rPr>
          <w:rtl w:val="0"/>
        </w:rPr>
      </w:r>
    </w:p>
  </w:footnote>
  <w:footnote w:id="2">
    <w:p w:rsidR="00000000" w:rsidDel="00000000" w:rsidP="00000000" w:rsidRDefault="00000000" w:rsidRPr="00000000" w14:paraId="00000044">
      <w:pPr>
        <w:spacing w:after="200" w:line="240" w:lineRule="auto"/>
        <w:rPr>
          <w:sz w:val="18"/>
          <w:szCs w:val="18"/>
        </w:rPr>
      </w:pPr>
      <w:r w:rsidDel="00000000" w:rsidR="00000000" w:rsidRPr="00000000">
        <w:rPr>
          <w:rStyle w:val="FootnoteReference"/>
          <w:vertAlign w:val="superscript"/>
        </w:rPr>
        <w:footnoteRef/>
      </w:r>
      <w:r w:rsidDel="00000000" w:rsidR="00000000" w:rsidRPr="00000000">
        <w:rPr>
          <w:color w:val="1f1f1f"/>
          <w:sz w:val="20"/>
          <w:szCs w:val="20"/>
          <w:rtl w:val="0"/>
        </w:rPr>
        <w:t xml:space="preserve"> </w:t>
      </w:r>
      <w:r w:rsidDel="00000000" w:rsidR="00000000" w:rsidRPr="00000000">
        <w:rPr>
          <w:sz w:val="18"/>
          <w:szCs w:val="18"/>
          <w:rtl w:val="0"/>
        </w:rPr>
        <w:t xml:space="preserve">Example indicators - which can be collected via self-assessment surveys - can include but are not limited to:</w:t>
      </w:r>
    </w:p>
    <w:p w:rsidR="00000000" w:rsidDel="00000000" w:rsidP="00000000" w:rsidRDefault="00000000" w:rsidRPr="00000000" w14:paraId="00000045">
      <w:pPr>
        <w:numPr>
          <w:ilvl w:val="0"/>
          <w:numId w:val="4"/>
        </w:numPr>
        <w:pBdr>
          <w:top w:color="auto" w:space="0" w:sz="0" w:val="none"/>
          <w:bottom w:color="auto" w:space="0" w:sz="0" w:val="none"/>
          <w:right w:color="auto" w:space="0" w:sz="0" w:val="none"/>
          <w:between w:color="auto" w:space="0" w:sz="0" w:val="none"/>
        </w:pBdr>
        <w:shd w:fill="ffffff" w:val="clear"/>
        <w:spacing w:line="276" w:lineRule="auto"/>
        <w:ind w:left="720" w:hanging="360"/>
        <w:jc w:val="both"/>
        <w:rPr>
          <w:sz w:val="18"/>
          <w:szCs w:val="18"/>
        </w:rPr>
      </w:pPr>
      <w:r w:rsidDel="00000000" w:rsidR="00000000" w:rsidRPr="00000000">
        <w:rPr>
          <w:sz w:val="18"/>
          <w:szCs w:val="18"/>
          <w:rtl w:val="0"/>
        </w:rPr>
        <w:t xml:space="preserve">% procurement spend with businesses owned or led by members of other marginalised groups</w:t>
      </w:r>
    </w:p>
    <w:p w:rsidR="00000000" w:rsidDel="00000000" w:rsidP="00000000" w:rsidRDefault="00000000" w:rsidRPr="00000000" w14:paraId="00000046">
      <w:pPr>
        <w:numPr>
          <w:ilvl w:val="0"/>
          <w:numId w:val="4"/>
        </w:numPr>
        <w:pBdr>
          <w:top w:color="auto" w:space="0" w:sz="0" w:val="none"/>
          <w:bottom w:color="auto" w:space="0" w:sz="0" w:val="none"/>
          <w:right w:color="auto" w:space="0" w:sz="0" w:val="none"/>
          <w:between w:color="auto" w:space="0" w:sz="0" w:val="none"/>
        </w:pBdr>
        <w:shd w:fill="ffffff" w:val="clear"/>
        <w:spacing w:line="276" w:lineRule="auto"/>
        <w:ind w:left="720" w:hanging="360"/>
        <w:jc w:val="both"/>
        <w:rPr>
          <w:sz w:val="18"/>
          <w:szCs w:val="18"/>
        </w:rPr>
      </w:pPr>
      <w:r w:rsidDel="00000000" w:rsidR="00000000" w:rsidRPr="00000000">
        <w:rPr>
          <w:sz w:val="18"/>
          <w:szCs w:val="18"/>
          <w:rtl w:val="0"/>
        </w:rPr>
        <w:t xml:space="preserve">% procurement spend with businesses with GEDSI commitments</w:t>
      </w:r>
    </w:p>
    <w:p w:rsidR="00000000" w:rsidDel="00000000" w:rsidP="00000000" w:rsidRDefault="00000000" w:rsidRPr="00000000" w14:paraId="00000047">
      <w:pPr>
        <w:numPr>
          <w:ilvl w:val="0"/>
          <w:numId w:val="4"/>
        </w:numPr>
        <w:pBdr>
          <w:top w:color="auto" w:space="0" w:sz="0" w:val="none"/>
          <w:bottom w:color="auto" w:space="0" w:sz="0" w:val="none"/>
          <w:right w:color="auto" w:space="0" w:sz="0" w:val="none"/>
          <w:between w:color="auto" w:space="0" w:sz="0" w:val="none"/>
        </w:pBdr>
        <w:shd w:fill="ffffff" w:val="clear"/>
        <w:spacing w:after="200" w:line="276" w:lineRule="auto"/>
        <w:ind w:left="720" w:hanging="360"/>
        <w:jc w:val="both"/>
        <w:rPr>
          <w:sz w:val="18"/>
          <w:szCs w:val="18"/>
        </w:rPr>
      </w:pPr>
      <w:r w:rsidDel="00000000" w:rsidR="00000000" w:rsidRPr="00000000">
        <w:rPr>
          <w:sz w:val="18"/>
          <w:szCs w:val="18"/>
          <w:rtl w:val="0"/>
        </w:rPr>
        <w:t xml:space="preserve">% workers in the supply chain receiving a living wage, disaggregated by sex.</w:t>
      </w:r>
      <w:r w:rsidDel="00000000" w:rsidR="00000000" w:rsidRPr="00000000">
        <w:rPr>
          <w:rtl w:val="0"/>
        </w:rPr>
      </w:r>
    </w:p>
  </w:footnote>
  <w:footnote w:id="0">
    <w:p w:rsidR="00000000" w:rsidDel="00000000" w:rsidP="00000000" w:rsidRDefault="00000000" w:rsidRPr="00000000" w14:paraId="00000048">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 As disability-disaggregated data on workforce representation among subcontractors, implementers, and grantees, these targets could be related to disability-inclusive processes, such as building partnership with Organisations for Persons with Disabilities, providing training on disability inclusion, etc.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5419725</wp:posOffset>
          </wp:positionH>
          <wp:positionV relativeFrom="paragraph">
            <wp:posOffset>-342899</wp:posOffset>
          </wp:positionV>
          <wp:extent cx="1223963" cy="68445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68445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-647699</wp:posOffset>
          </wp:positionH>
          <wp:positionV relativeFrom="paragraph">
            <wp:posOffset>-342899</wp:posOffset>
          </wp:positionV>
          <wp:extent cx="842963" cy="565063"/>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2963" cy="565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f142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cf142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f142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EAadmin@carbontrust.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